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F9129" w14:textId="77777777" w:rsidR="00E140AC" w:rsidRDefault="00E140AC" w:rsidP="00CA3804">
      <w:pPr>
        <w:tabs>
          <w:tab w:val="left" w:pos="284"/>
        </w:tabs>
      </w:pPr>
    </w:p>
    <w:p w14:paraId="1C8EF36B" w14:textId="76C77714" w:rsidR="00E140AC" w:rsidRPr="00E140AC" w:rsidRDefault="00E140AC" w:rsidP="00E140AC">
      <w:pPr>
        <w:pStyle w:val="Body2"/>
        <w:tabs>
          <w:tab w:val="left" w:pos="284"/>
        </w:tabs>
        <w:spacing w:after="0"/>
        <w:rPr>
          <w:rFonts w:cs="Times New Roman"/>
          <w:b/>
          <w:bCs/>
          <w:lang w:val="lt-LT"/>
        </w:rPr>
      </w:pPr>
      <w:r>
        <w:rPr>
          <w:rFonts w:cs="Times New Roman"/>
          <w:b/>
          <w:bCs/>
          <w:lang w:val="lt-LT"/>
        </w:rPr>
        <w:t>Paslaugų aprašymas</w:t>
      </w:r>
    </w:p>
    <w:p w14:paraId="494ACD2D" w14:textId="78B8712B" w:rsidR="00CA3804" w:rsidRPr="007F0276" w:rsidRDefault="00CA3804" w:rsidP="00CA3804">
      <w:pPr>
        <w:pStyle w:val="Body2"/>
        <w:numPr>
          <w:ilvl w:val="0"/>
          <w:numId w:val="1"/>
        </w:numPr>
        <w:tabs>
          <w:tab w:val="left" w:pos="284"/>
        </w:tabs>
        <w:spacing w:after="0"/>
        <w:ind w:left="0" w:firstLine="0"/>
        <w:rPr>
          <w:rFonts w:cs="Times New Roman"/>
          <w:lang w:val="lt-LT"/>
        </w:rPr>
      </w:pPr>
      <w:r w:rsidRPr="007F0276">
        <w:rPr>
          <w:rFonts w:cs="Times New Roman"/>
          <w:lang w:val="lt-LT"/>
        </w:rPr>
        <w:t xml:space="preserve">Paslaugos apima visas objektų apsaugos pilna apimtimi paslaugas, įskaitant </w:t>
      </w:r>
      <w:bookmarkStart w:id="0" w:name="_Hlk102465920"/>
      <w:r w:rsidRPr="007F0276">
        <w:rPr>
          <w:rFonts w:cs="Times New Roman"/>
          <w:lang w:val="lt-LT"/>
        </w:rPr>
        <w:t>priešgaisrinės ir elektroninės apsaugos įrangos įdiegimą/sumontavimą bei prijungimą prie Paslaugų teikėjo centrinio stebėjimo pulto</w:t>
      </w:r>
      <w:bookmarkEnd w:id="0"/>
      <w:r w:rsidRPr="007F0276">
        <w:rPr>
          <w:rFonts w:cs="Times New Roman"/>
          <w:lang w:val="lt-LT"/>
        </w:rPr>
        <w:t>.</w:t>
      </w:r>
    </w:p>
    <w:p w14:paraId="55AE2395" w14:textId="4A83D8BB" w:rsidR="00CA3804" w:rsidRPr="00D9268B" w:rsidRDefault="00CA3804" w:rsidP="00CA3804">
      <w:pPr>
        <w:pStyle w:val="Body2"/>
        <w:numPr>
          <w:ilvl w:val="0"/>
          <w:numId w:val="1"/>
        </w:numPr>
        <w:tabs>
          <w:tab w:val="left" w:pos="284"/>
        </w:tabs>
        <w:spacing w:after="0"/>
        <w:ind w:left="0" w:firstLine="0"/>
        <w:rPr>
          <w:rFonts w:cs="Times New Roman"/>
          <w:lang w:val="lt-LT"/>
        </w:rPr>
      </w:pPr>
      <w:r>
        <w:rPr>
          <w:rFonts w:cs="Times New Roman"/>
          <w:lang w:val="lt-LT"/>
        </w:rPr>
        <w:t>Objektuose</w:t>
      </w:r>
      <w:r w:rsidRPr="00D9268B">
        <w:rPr>
          <w:rFonts w:cs="Times New Roman"/>
          <w:lang w:val="lt-LT"/>
        </w:rPr>
        <w:t xml:space="preserve"> ir patalpose nėra įrengtos signalizacijos sistemos. Elektra yra visose objektuose</w:t>
      </w:r>
      <w:r>
        <w:rPr>
          <w:rFonts w:cs="Times New Roman"/>
          <w:lang w:val="lt-LT"/>
        </w:rPr>
        <w:t>, išskyrus pirkimo dalyje Lentelė nr.2  punktu Nr. 1 pažymėtą objektą</w:t>
      </w:r>
      <w:r w:rsidRPr="00D9268B">
        <w:rPr>
          <w:rFonts w:cs="Times New Roman"/>
          <w:lang w:val="lt-LT"/>
        </w:rPr>
        <w:t>. Visų objektų teritorija yra aptverta</w:t>
      </w:r>
      <w:r>
        <w:rPr>
          <w:rFonts w:cs="Times New Roman"/>
          <w:lang w:val="lt-LT"/>
        </w:rPr>
        <w:t xml:space="preserve">, išskyrus </w:t>
      </w:r>
      <w:r w:rsidR="00CF2DEE">
        <w:rPr>
          <w:rFonts w:cs="Times New Roman"/>
          <w:lang w:val="lt-LT"/>
        </w:rPr>
        <w:t>Lentelėje Nr.1 nurodytuose p.6,7,8</w:t>
      </w:r>
      <w:r>
        <w:rPr>
          <w:rFonts w:cs="Times New Roman"/>
          <w:lang w:val="lt-LT"/>
        </w:rPr>
        <w:t xml:space="preserve"> pirkimo dalyje </w:t>
      </w:r>
      <w:r w:rsidR="00CF2DEE">
        <w:rPr>
          <w:rFonts w:cs="Times New Roman"/>
          <w:lang w:val="lt-LT"/>
        </w:rPr>
        <w:t>paminėtus</w:t>
      </w:r>
      <w:r>
        <w:rPr>
          <w:rFonts w:cs="Times New Roman"/>
          <w:lang w:val="lt-LT"/>
        </w:rPr>
        <w:t xml:space="preserve"> objektus. Visų objektų teritorijos, išskyrus </w:t>
      </w:r>
      <w:r w:rsidR="00CF2DEE">
        <w:rPr>
          <w:rFonts w:cs="Times New Roman"/>
          <w:lang w:val="lt-LT"/>
        </w:rPr>
        <w:t>Lentelėje Nr1 p.6,7</w:t>
      </w:r>
      <w:r>
        <w:rPr>
          <w:rFonts w:cs="Times New Roman"/>
          <w:lang w:val="lt-LT"/>
        </w:rPr>
        <w:t xml:space="preserve"> </w:t>
      </w:r>
      <w:r w:rsidR="00CF2DEE">
        <w:rPr>
          <w:rFonts w:cs="Times New Roman"/>
          <w:lang w:val="lt-LT"/>
        </w:rPr>
        <w:t xml:space="preserve">ir Lentelėje Nr.2, p.1 </w:t>
      </w:r>
      <w:r>
        <w:rPr>
          <w:rFonts w:cs="Times New Roman"/>
          <w:lang w:val="lt-LT"/>
        </w:rPr>
        <w:t xml:space="preserve"> nurodyt</w:t>
      </w:r>
      <w:r w:rsidR="00CF2DEE">
        <w:rPr>
          <w:rFonts w:cs="Times New Roman"/>
          <w:lang w:val="lt-LT"/>
        </w:rPr>
        <w:t>uose</w:t>
      </w:r>
      <w:r>
        <w:rPr>
          <w:rFonts w:cs="Times New Roman"/>
          <w:lang w:val="lt-LT"/>
        </w:rPr>
        <w:t xml:space="preserve"> objekt</w:t>
      </w:r>
      <w:r w:rsidR="00CF2DEE">
        <w:rPr>
          <w:rFonts w:cs="Times New Roman"/>
          <w:lang w:val="lt-LT"/>
        </w:rPr>
        <w:t>uose</w:t>
      </w:r>
      <w:r>
        <w:rPr>
          <w:rFonts w:cs="Times New Roman"/>
          <w:lang w:val="lt-LT"/>
        </w:rPr>
        <w:t>, yra</w:t>
      </w:r>
      <w:r w:rsidRPr="00D9268B">
        <w:rPr>
          <w:rFonts w:cs="Times New Roman"/>
          <w:lang w:val="lt-LT"/>
        </w:rPr>
        <w:t xml:space="preserve"> apšviestos.</w:t>
      </w:r>
    </w:p>
    <w:p w14:paraId="1497E066"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rPr>
        <w:t>Objektų apsaugos sistemos projektinės dokumentacijos Perkančioji organizacija nereikalauja.</w:t>
      </w:r>
    </w:p>
    <w:p w14:paraId="218877A8"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FB2F7E">
        <w:rPr>
          <w:rFonts w:cs="Times New Roman"/>
          <w:lang w:val="lt-LT"/>
        </w:rPr>
        <w:t>Objektų teritorijos kontūro apsauga privalo būti užtikrinama sensoriniais davikliais/jutikliais. Esant reikalui</w:t>
      </w:r>
      <w:r>
        <w:rPr>
          <w:rFonts w:cs="Times New Roman"/>
          <w:lang w:val="lt-LT"/>
        </w:rPr>
        <w:t>,</w:t>
      </w:r>
      <w:r w:rsidRPr="00FB2F7E">
        <w:rPr>
          <w:rFonts w:cs="Times New Roman"/>
          <w:lang w:val="lt-LT"/>
        </w:rPr>
        <w:t xml:space="preserve"> Paslaugų teikėjas kaip papildomas priemones, paslaugų užtikrinimui, gali pasitelkti vaizdo stebėjimo sistemas</w:t>
      </w:r>
      <w:r w:rsidRPr="00D9268B">
        <w:rPr>
          <w:rFonts w:cs="Times New Roman"/>
          <w:lang w:val="lt-LT"/>
        </w:rPr>
        <w:t>.</w:t>
      </w:r>
    </w:p>
    <w:p w14:paraId="0B633044"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rPr>
        <w:t>Paslaugų teikėjui nebus suteikta galimybė naudotis Perkančiosios organizacijos internetu saugomose objektuose.</w:t>
      </w:r>
    </w:p>
    <w:p w14:paraId="773F5812"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rPr>
        <w:t xml:space="preserve"> Pasibaigus paslaugų teikimo sutarčiai, Paslaugų teikėjo sumontuota apsaugos sistema lieka Paslaugų teikėjui, ją išsimontuoja.</w:t>
      </w:r>
    </w:p>
    <w:p w14:paraId="5422B3A8"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eastAsia="Calibri" w:cs="Times New Roman"/>
          <w:lang w:val="lt-LT"/>
        </w:rPr>
        <w:t xml:space="preserve"> Paslaugos teikėjas paslaugų teikimo metu pilnai atsako už tinkamą sumontuotos įrangos veikimą. Savo lėšomis atlieka šios </w:t>
      </w:r>
      <w:bookmarkStart w:id="1" w:name="_Hlk102466012"/>
      <w:r w:rsidRPr="00D9268B">
        <w:rPr>
          <w:rFonts w:eastAsia="Calibri" w:cs="Times New Roman"/>
          <w:lang w:val="lt-LT"/>
        </w:rPr>
        <w:t>įrangos derinimą, remontą, elementų ir/ar baterijų keitimą</w:t>
      </w:r>
      <w:bookmarkEnd w:id="1"/>
      <w:r w:rsidRPr="00D9268B">
        <w:rPr>
          <w:rFonts w:eastAsia="Calibri" w:cs="Times New Roman"/>
          <w:lang w:val="lt-LT"/>
        </w:rPr>
        <w:t>. Už visas įrangos priežiūrai reikalingas dalis ir medžiagas apmoka Paslaugos teikėjas. Paslaugos gavėjas neatliks jokių su įrangos priežiūrą, derinimu ar remontu, įskaitant tam reikalingas dalis ir medžiagas, susijusių mokėjimų.</w:t>
      </w:r>
    </w:p>
    <w:p w14:paraId="52531D74"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rPr>
        <w:t xml:space="preserve"> Paslaugos teikiamos </w:t>
      </w:r>
      <w:r>
        <w:rPr>
          <w:rFonts w:cs="Times New Roman"/>
          <w:lang w:val="lt-LT"/>
        </w:rPr>
        <w:t>dvidešimt keturias valandas per parą</w:t>
      </w:r>
      <w:r w:rsidRPr="00D9268B">
        <w:rPr>
          <w:rFonts w:cs="Times New Roman"/>
          <w:lang w:val="lt-LT"/>
        </w:rPr>
        <w:t>.</w:t>
      </w:r>
    </w:p>
    <w:p w14:paraId="599DDAC8" w14:textId="09816671"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Paslaugų teikėjas, </w:t>
      </w:r>
      <w:r w:rsidRPr="00116ACD">
        <w:rPr>
          <w:rFonts w:cs="Times New Roman"/>
          <w:lang w:val="lt-LT" w:eastAsia="x-none"/>
        </w:rPr>
        <w:t>per 2</w:t>
      </w:r>
      <w:r>
        <w:rPr>
          <w:rFonts w:cs="Times New Roman"/>
          <w:lang w:val="lt-LT" w:eastAsia="x-none"/>
        </w:rPr>
        <w:t>0</w:t>
      </w:r>
      <w:r w:rsidRPr="00116ACD">
        <w:rPr>
          <w:rFonts w:cs="Times New Roman"/>
          <w:lang w:val="lt-LT" w:eastAsia="x-none"/>
        </w:rPr>
        <w:t xml:space="preserve"> darbo dien</w:t>
      </w:r>
      <w:r>
        <w:rPr>
          <w:rFonts w:cs="Times New Roman"/>
          <w:lang w:val="lt-LT" w:eastAsia="x-none"/>
        </w:rPr>
        <w:t>ų</w:t>
      </w:r>
      <w:r w:rsidRPr="00D9268B">
        <w:rPr>
          <w:rFonts w:cs="Times New Roman"/>
          <w:lang w:val="lt-LT" w:eastAsia="x-none"/>
        </w:rPr>
        <w:t xml:space="preserve"> po sutarties pasirašymo, savo lėšomis įrengia/sumontuoja</w:t>
      </w:r>
      <w:r>
        <w:rPr>
          <w:rFonts w:cs="Times New Roman"/>
          <w:lang w:val="lt-LT" w:eastAsia="x-none"/>
        </w:rPr>
        <w:t xml:space="preserve"> , išvardintuose </w:t>
      </w:r>
      <w:r w:rsidR="00CF2DEE">
        <w:rPr>
          <w:rFonts w:cs="Times New Roman"/>
          <w:lang w:val="lt-LT" w:eastAsia="x-none"/>
        </w:rPr>
        <w:t>Lentelėje nr.1 p.3,4,5</w:t>
      </w:r>
      <w:r>
        <w:rPr>
          <w:rFonts w:cs="Times New Roman"/>
          <w:lang w:val="lt-LT" w:eastAsia="x-none"/>
        </w:rPr>
        <w:t xml:space="preserve"> </w:t>
      </w:r>
      <w:r w:rsidRPr="00D9268B">
        <w:rPr>
          <w:rFonts w:cs="Times New Roman"/>
          <w:lang w:val="lt-LT" w:eastAsia="x-none"/>
        </w:rPr>
        <w:t>teritorijų perimetro</w:t>
      </w:r>
      <w:r>
        <w:rPr>
          <w:rFonts w:cs="Times New Roman"/>
          <w:lang w:val="lt-LT" w:eastAsia="x-none"/>
        </w:rPr>
        <w:t>, o objektuose, nurodytuose punktuose Nr.</w:t>
      </w:r>
      <w:r w:rsidR="00CF2DEE">
        <w:rPr>
          <w:rFonts w:cs="Times New Roman"/>
          <w:lang w:val="lt-LT" w:eastAsia="x-none"/>
        </w:rPr>
        <w:t>1</w:t>
      </w:r>
      <w:r>
        <w:rPr>
          <w:rFonts w:cs="Times New Roman"/>
          <w:lang w:val="lt-LT" w:eastAsia="x-none"/>
        </w:rPr>
        <w:t xml:space="preserve">, </w:t>
      </w:r>
      <w:r w:rsidR="00CF2DEE">
        <w:rPr>
          <w:rFonts w:cs="Times New Roman"/>
          <w:lang w:val="lt-LT" w:eastAsia="x-none"/>
        </w:rPr>
        <w:t>2</w:t>
      </w:r>
      <w:r>
        <w:rPr>
          <w:rFonts w:cs="Times New Roman"/>
          <w:lang w:val="lt-LT" w:eastAsia="x-none"/>
        </w:rPr>
        <w:t>,</w:t>
      </w:r>
      <w:r w:rsidR="00CF2DEE">
        <w:rPr>
          <w:rFonts w:cs="Times New Roman"/>
          <w:lang w:val="lt-LT" w:eastAsia="x-none"/>
        </w:rPr>
        <w:t>6</w:t>
      </w:r>
      <w:r>
        <w:rPr>
          <w:rFonts w:cs="Times New Roman"/>
          <w:lang w:val="lt-LT" w:eastAsia="x-none"/>
        </w:rPr>
        <w:t>,</w:t>
      </w:r>
      <w:r w:rsidR="00CF2DEE">
        <w:rPr>
          <w:rFonts w:cs="Times New Roman"/>
          <w:lang w:val="lt-LT" w:eastAsia="x-none"/>
        </w:rPr>
        <w:t>7,8,9,10</w:t>
      </w:r>
      <w:r w:rsidRPr="00D9268B">
        <w:rPr>
          <w:rFonts w:cs="Times New Roman"/>
          <w:lang w:val="lt-LT" w:eastAsia="x-none"/>
        </w:rPr>
        <w:t xml:space="preserve"> esančių patalpų priešgaisrinę ir elektroninę apsaugą, prijungiant ją prie Paslaugų teikėjo centrinio stebėjimo pulto (toliau – CSP) bei užtikrina nenutrūkstamą sistemos veikimą visą sutarties galiojimo terminą. Pasibaigus sutarties galiojimui, Paslaugų teikėjas įrengtą/sumontuotą įrangą išmontuoja per 10 darbo dienų nepažeisdamas Užsakovo materialaus turto.</w:t>
      </w:r>
    </w:p>
    <w:p w14:paraId="17DF1D39"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Prieš pradedant teikti paslaugas, Paslaugų teikėjas supažindina Užsakovą su įrengta apsaugos sistema, jos valdymu. Tinkamas Paslaugų teikėjo pasiruošimas teikti paslaugą fiksuojamas pasirašant paslaugų perdavimo – priėmimo aktą.</w:t>
      </w:r>
    </w:p>
    <w:p w14:paraId="6570E321"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Objektas turi būti saugomas reagavimo būdu, prijungtu prie CSP.</w:t>
      </w:r>
    </w:p>
    <w:p w14:paraId="36C65782"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Paslaugų teikėjas, gavęs signalizacijos sistemos gedimo signalą (elektros energijos dingimo signalą, rezervinio signalizacijos sistemos maitinimo signalą, signalizacijos sistemos spindulių ignoravimo signalą, ar negavęs signalizacijos sistemos testavimo signalo), kai objekto signalizacijos sistema nėra įjungta, privalo informuoti apie tai Užsakovą ir per 48 valandas nustatytus gedimus (trūkumus) pašalinti.</w:t>
      </w:r>
    </w:p>
    <w:p w14:paraId="7217ECFE"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Paslaugų teikėjo greito reagavimo grupė (ekipažas) privalo atvykti į saugomą objektą </w:t>
      </w:r>
      <w:r>
        <w:rPr>
          <w:rFonts w:cs="Times New Roman"/>
          <w:lang w:val="lt-LT" w:eastAsia="x-none"/>
        </w:rPr>
        <w:t>miesto ribose</w:t>
      </w:r>
      <w:r w:rsidRPr="00D9268B">
        <w:rPr>
          <w:rFonts w:cs="Times New Roman"/>
          <w:lang w:val="lt-LT" w:eastAsia="x-none"/>
        </w:rPr>
        <w:t xml:space="preserve"> ne ilgiau kaip per 10 min. nuo gauto suveikimo signalo, </w:t>
      </w:r>
      <w:r>
        <w:rPr>
          <w:rFonts w:cs="Times New Roman"/>
          <w:lang w:val="lt-LT" w:eastAsia="x-none"/>
        </w:rPr>
        <w:t>ne miesto ribose</w:t>
      </w:r>
      <w:r w:rsidRPr="00D9268B">
        <w:rPr>
          <w:rFonts w:cs="Times New Roman"/>
          <w:lang w:val="lt-LT" w:eastAsia="x-none"/>
        </w:rPr>
        <w:t xml:space="preserve"> – ne ilgiau kaip per 2</w:t>
      </w:r>
      <w:r>
        <w:rPr>
          <w:rFonts w:cs="Times New Roman"/>
          <w:lang w:val="lt-LT" w:eastAsia="x-none"/>
        </w:rPr>
        <w:t>5</w:t>
      </w:r>
      <w:r w:rsidRPr="00D9268B">
        <w:rPr>
          <w:rFonts w:cs="Times New Roman"/>
          <w:lang w:val="lt-LT" w:eastAsia="x-none"/>
        </w:rPr>
        <w:t xml:space="preserve"> min. nuo gauto suveikimo signalo.</w:t>
      </w:r>
    </w:p>
    <w:p w14:paraId="1AEBB327"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Į saugomą objektą, kuriame suveikė signalizacijos sistema, turi atvykti apsaugos tarnybos grupė (ekipažas), kuri turi apžiūrėti objektą iš išorės ir imtis priemonių signalizacijos suveikimo priežastims išsiaiškinti.</w:t>
      </w:r>
    </w:p>
    <w:p w14:paraId="5F44A1C7"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Kai nustatoma signalizacijos suveikimo priežastis gaisras arba įsilaužimo atvejis, informuoti policiją ar priešgaisrines gelbėjimo tarnybas ir taip pat informuoti Užsakovą. Nustačius įsilaužimo/turto sugadinimo požymius, imtis visų teisėtų priemonių, kad asmenys, įtariami padarę neteisėtus veiksmus objekto teritorijoje, būtų sulaikyti.</w:t>
      </w:r>
    </w:p>
    <w:p w14:paraId="66FF3B7D"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Atvykus į objektą po suveikusio sistemos signalo ir jame aptikus objekto perimetro pažeidimus ar įsibrovimo požymius, apsaugos darbuotojai privalo vykdyti objekto fizinę apsaugą iki atvyks Užsakovo atsakingas asmuo. Pirmoji fizinės apsaugos valanda nėra apmokama.</w:t>
      </w:r>
    </w:p>
    <w:p w14:paraId="689A0F56"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Atvykus į objektą po suveikusio sistemos signalo ir neaptikus perimetro pažeidimų ar įsibrovimo požymių, saugomą objektą prijungti apsaugai, tačiau nesant tokiai galimybei, dėl priežasties, kuri nepriklauso nuo Paslaugų teikėjo, apie tai informuoti Užsakovą ir kartu spręsti klausimą dėl papildomos objekto apsaugos.</w:t>
      </w:r>
    </w:p>
    <w:p w14:paraId="794B49C7"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lastRenderedPageBreak/>
        <w:t xml:space="preserve"> Papildoma fizinė apsauga, suveikus apsaugos signalizacijai ir viršijus 1 val., skaičiuojama valandiniu tarifu už kiekvieną papildomą fizinės apsaugos valandą.</w:t>
      </w:r>
    </w:p>
    <w:p w14:paraId="585A5AF1" w14:textId="77777777" w:rsidR="00CA3804" w:rsidRPr="00D9268B"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Paslaugų teikėjas turi užtikrinti, kad skirs apsaugos darbuotojus, kurie gebės tinkamai atlikti pavestas užduotis.</w:t>
      </w:r>
    </w:p>
    <w:p w14:paraId="1D5FAEF0" w14:textId="77777777" w:rsidR="00CA3804" w:rsidRDefault="00CA3804" w:rsidP="00CA3804">
      <w:pPr>
        <w:pStyle w:val="Body2"/>
        <w:numPr>
          <w:ilvl w:val="0"/>
          <w:numId w:val="1"/>
        </w:numPr>
        <w:tabs>
          <w:tab w:val="left" w:pos="284"/>
        </w:tabs>
        <w:spacing w:after="0"/>
        <w:ind w:left="0" w:firstLine="0"/>
        <w:rPr>
          <w:rFonts w:cs="Times New Roman"/>
          <w:lang w:val="lt-LT"/>
        </w:rPr>
      </w:pPr>
      <w:r w:rsidRPr="00D9268B">
        <w:rPr>
          <w:rFonts w:cs="Times New Roman"/>
          <w:lang w:val="lt-LT" w:eastAsia="x-none"/>
        </w:rPr>
        <w:t xml:space="preserve"> Užsakovui </w:t>
      </w:r>
      <w:r>
        <w:rPr>
          <w:rFonts w:cs="Times New Roman"/>
          <w:lang w:val="lt-LT" w:eastAsia="x-none"/>
        </w:rPr>
        <w:t>pareikalavus,</w:t>
      </w:r>
      <w:r w:rsidRPr="00D9268B">
        <w:rPr>
          <w:rFonts w:cs="Times New Roman"/>
          <w:lang w:val="lt-LT" w:eastAsia="x-none"/>
        </w:rPr>
        <w:t xml:space="preserve"> el. paštu turi būti pateikiama ataskaita apie saugomo objekto apsaugos sistemos suveikimo signalą ir objekto apžiūros rezultatus.</w:t>
      </w:r>
    </w:p>
    <w:p w14:paraId="7AC6E96D" w14:textId="77777777" w:rsidR="00CA3804" w:rsidRDefault="00CA3804" w:rsidP="00CA3804">
      <w:pPr>
        <w:pStyle w:val="Body2"/>
        <w:numPr>
          <w:ilvl w:val="0"/>
          <w:numId w:val="1"/>
        </w:numPr>
        <w:tabs>
          <w:tab w:val="left" w:pos="284"/>
        </w:tabs>
        <w:spacing w:after="0"/>
        <w:ind w:left="0" w:firstLine="0"/>
        <w:rPr>
          <w:rFonts w:cs="Times New Roman"/>
          <w:lang w:val="lt-LT"/>
        </w:rPr>
      </w:pPr>
      <w:r>
        <w:rPr>
          <w:rFonts w:cs="Times New Roman"/>
          <w:lang w:val="lt-LT" w:eastAsia="x-none"/>
        </w:rPr>
        <w:t>Įgalioti Užsakovo atstovai turi turėti galimybę apsaugos signalizaciją kiekviename objekte įjungti/išjungti išmaniųjų įrenginių (mobilusis telefonas) pagalba.</w:t>
      </w:r>
    </w:p>
    <w:p w14:paraId="3BF5FC4D" w14:textId="063093E9" w:rsidR="00CA3804" w:rsidRDefault="00CA3804" w:rsidP="00CA3804">
      <w:pPr>
        <w:pStyle w:val="Body2"/>
        <w:numPr>
          <w:ilvl w:val="0"/>
          <w:numId w:val="1"/>
        </w:numPr>
        <w:tabs>
          <w:tab w:val="left" w:pos="284"/>
          <w:tab w:val="left" w:pos="540"/>
        </w:tabs>
        <w:spacing w:after="0"/>
        <w:ind w:left="0" w:firstLine="0"/>
        <w:rPr>
          <w:rFonts w:cs="Times New Roman"/>
          <w:lang w:val="lt-LT"/>
        </w:rPr>
      </w:pPr>
      <w:r w:rsidRPr="001A514E">
        <w:rPr>
          <w:b/>
          <w:lang w:val="lt-LT"/>
        </w:rPr>
        <w:t xml:space="preserve"> </w:t>
      </w:r>
      <w:r>
        <w:rPr>
          <w:rFonts w:cs="Times New Roman"/>
          <w:b/>
          <w:lang w:val="lt-LT"/>
        </w:rPr>
        <w:t xml:space="preserve"> </w:t>
      </w:r>
      <w:r w:rsidRPr="001A514E">
        <w:rPr>
          <w:b/>
          <w:bCs/>
          <w:i/>
          <w:iCs/>
          <w:lang w:val="lt-LT"/>
        </w:rPr>
        <w:t>Ne darbo metu laikina technikos ir įrangos apsauga statybos objektuose</w:t>
      </w:r>
      <w:r>
        <w:rPr>
          <w:rFonts w:cs="Times New Roman"/>
          <w:lang w:val="lt-LT"/>
        </w:rPr>
        <w:t>:</w:t>
      </w:r>
    </w:p>
    <w:p w14:paraId="66DCD9A2" w14:textId="77777777" w:rsidR="00CA3804" w:rsidRDefault="00CA3804" w:rsidP="00CA3804">
      <w:pPr>
        <w:pStyle w:val="Body2"/>
        <w:numPr>
          <w:ilvl w:val="1"/>
          <w:numId w:val="1"/>
        </w:numPr>
        <w:tabs>
          <w:tab w:val="left" w:pos="284"/>
          <w:tab w:val="left" w:pos="540"/>
          <w:tab w:val="left" w:pos="900"/>
        </w:tabs>
        <w:spacing w:after="0"/>
        <w:ind w:left="0" w:firstLine="0"/>
        <w:rPr>
          <w:rFonts w:cs="Times New Roman"/>
          <w:bCs/>
          <w:lang w:val="lt-LT"/>
        </w:rPr>
      </w:pPr>
      <w:r>
        <w:rPr>
          <w:rFonts w:cs="Times New Roman"/>
          <w:bCs/>
          <w:lang w:val="lt-LT"/>
        </w:rPr>
        <w:t>Užsakovas Paslaugų tiekėją informuoja prieš 24 valandas, apie atsiradusį poreikį saugoti Užsakovo vykdomame objekte esančią statybos techniką ar įrengimus bei apie preliminarią paslaugos teikimo trukmę,  preliminarų saugotiną plotą ar perimetrą objekte.</w:t>
      </w:r>
    </w:p>
    <w:p w14:paraId="4195F684" w14:textId="77777777" w:rsidR="00CA3804" w:rsidRDefault="00CA3804" w:rsidP="00CA3804">
      <w:pPr>
        <w:pStyle w:val="Body2"/>
        <w:numPr>
          <w:ilvl w:val="1"/>
          <w:numId w:val="1"/>
        </w:numPr>
        <w:tabs>
          <w:tab w:val="left" w:pos="284"/>
          <w:tab w:val="left" w:pos="540"/>
          <w:tab w:val="left" w:pos="900"/>
        </w:tabs>
        <w:spacing w:after="0"/>
        <w:ind w:left="0" w:firstLine="0"/>
        <w:rPr>
          <w:rFonts w:cs="Times New Roman"/>
          <w:bCs/>
          <w:lang w:val="lt-LT"/>
        </w:rPr>
      </w:pPr>
      <w:r>
        <w:rPr>
          <w:rFonts w:cs="Times New Roman"/>
          <w:bCs/>
          <w:lang w:val="lt-LT"/>
        </w:rPr>
        <w:t>Užsakovas saugotiną objektą aptveria ne žemesne, kaip 1,70 m. aukščio segmentine tvora, likus 12 valandų iki objekto poreikio priduoti CSP.</w:t>
      </w:r>
    </w:p>
    <w:p w14:paraId="311EF78D" w14:textId="77777777" w:rsidR="00CA3804" w:rsidRDefault="00CA3804" w:rsidP="00CA3804">
      <w:pPr>
        <w:pStyle w:val="Body2"/>
        <w:numPr>
          <w:ilvl w:val="1"/>
          <w:numId w:val="1"/>
        </w:numPr>
        <w:tabs>
          <w:tab w:val="left" w:pos="284"/>
          <w:tab w:val="left" w:pos="540"/>
          <w:tab w:val="left" w:pos="900"/>
        </w:tabs>
        <w:spacing w:after="0"/>
        <w:ind w:left="0" w:firstLine="0"/>
        <w:rPr>
          <w:rFonts w:cs="Times New Roman"/>
          <w:bCs/>
          <w:lang w:val="lt-LT"/>
        </w:rPr>
      </w:pPr>
      <w:r>
        <w:rPr>
          <w:rFonts w:cs="Times New Roman"/>
          <w:bCs/>
          <w:lang w:val="lt-LT"/>
        </w:rPr>
        <w:t>Paslaugos tiekėjas privalo aptvertoje teritorijoje sumontuoti elektroninės apsaugos sistemą ir garantuoti jos pajungimą į  CSP per 12 valandų, nuo Užsakovo pranešimo apie poreikį teikti apsaugos paslaugą nurodytame objekte.</w:t>
      </w:r>
    </w:p>
    <w:p w14:paraId="0C0BAEA6" w14:textId="77777777" w:rsidR="00CA3804" w:rsidRDefault="00CA3804" w:rsidP="00CA3804">
      <w:pPr>
        <w:pStyle w:val="Body2"/>
        <w:numPr>
          <w:ilvl w:val="1"/>
          <w:numId w:val="1"/>
        </w:numPr>
        <w:tabs>
          <w:tab w:val="left" w:pos="284"/>
          <w:tab w:val="left" w:pos="540"/>
          <w:tab w:val="left" w:pos="900"/>
        </w:tabs>
        <w:spacing w:after="0"/>
        <w:ind w:left="0" w:firstLine="0"/>
        <w:rPr>
          <w:rFonts w:cs="Times New Roman"/>
          <w:bCs/>
          <w:lang w:val="lt-LT"/>
        </w:rPr>
      </w:pPr>
      <w:r>
        <w:rPr>
          <w:rFonts w:cs="Times New Roman"/>
          <w:bCs/>
          <w:lang w:val="lt-LT"/>
        </w:rPr>
        <w:t>Paslaugos tiekėjas baigia teikti paslaugą objekte, gavęs įgalioto Užsakovo atstovo pranešimą su nurodytu laiku, kada baigiama teikti paslauga (SMS, elektroninio laiško forma).</w:t>
      </w:r>
    </w:p>
    <w:sectPr w:rsidR="00CA38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56FD6"/>
    <w:multiLevelType w:val="multilevel"/>
    <w:tmpl w:val="282435C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cs="Arial Unicode MS" w:hint="default"/>
      </w:rPr>
    </w:lvl>
    <w:lvl w:ilvl="2">
      <w:start w:val="1"/>
      <w:numFmt w:val="decimal"/>
      <w:isLgl/>
      <w:lvlText w:val="%1.%2.%3."/>
      <w:lvlJc w:val="left"/>
      <w:pPr>
        <w:ind w:left="1080" w:hanging="720"/>
      </w:pPr>
      <w:rPr>
        <w:rFonts w:cs="Arial Unicode MS" w:hint="default"/>
      </w:rPr>
    </w:lvl>
    <w:lvl w:ilvl="3">
      <w:start w:val="1"/>
      <w:numFmt w:val="decimal"/>
      <w:isLgl/>
      <w:lvlText w:val="%1.%2.%3.%4."/>
      <w:lvlJc w:val="left"/>
      <w:pPr>
        <w:ind w:left="1080" w:hanging="720"/>
      </w:pPr>
      <w:rPr>
        <w:rFonts w:cs="Arial Unicode MS" w:hint="default"/>
      </w:rPr>
    </w:lvl>
    <w:lvl w:ilvl="4">
      <w:start w:val="1"/>
      <w:numFmt w:val="decimal"/>
      <w:isLgl/>
      <w:lvlText w:val="%1.%2.%3.%4.%5."/>
      <w:lvlJc w:val="left"/>
      <w:pPr>
        <w:ind w:left="1440" w:hanging="1080"/>
      </w:pPr>
      <w:rPr>
        <w:rFonts w:cs="Arial Unicode MS" w:hint="default"/>
      </w:rPr>
    </w:lvl>
    <w:lvl w:ilvl="5">
      <w:start w:val="1"/>
      <w:numFmt w:val="decimal"/>
      <w:isLgl/>
      <w:lvlText w:val="%1.%2.%3.%4.%5.%6."/>
      <w:lvlJc w:val="left"/>
      <w:pPr>
        <w:ind w:left="1440" w:hanging="1080"/>
      </w:pPr>
      <w:rPr>
        <w:rFonts w:cs="Arial Unicode MS" w:hint="default"/>
      </w:rPr>
    </w:lvl>
    <w:lvl w:ilvl="6">
      <w:start w:val="1"/>
      <w:numFmt w:val="decimal"/>
      <w:isLgl/>
      <w:lvlText w:val="%1.%2.%3.%4.%5.%6.%7."/>
      <w:lvlJc w:val="left"/>
      <w:pPr>
        <w:ind w:left="1800" w:hanging="1440"/>
      </w:pPr>
      <w:rPr>
        <w:rFonts w:cs="Arial Unicode MS" w:hint="default"/>
      </w:rPr>
    </w:lvl>
    <w:lvl w:ilvl="7">
      <w:start w:val="1"/>
      <w:numFmt w:val="decimal"/>
      <w:isLgl/>
      <w:lvlText w:val="%1.%2.%3.%4.%5.%6.%7.%8."/>
      <w:lvlJc w:val="left"/>
      <w:pPr>
        <w:ind w:left="1800" w:hanging="1440"/>
      </w:pPr>
      <w:rPr>
        <w:rFonts w:cs="Arial Unicode MS" w:hint="default"/>
      </w:rPr>
    </w:lvl>
    <w:lvl w:ilvl="8">
      <w:start w:val="1"/>
      <w:numFmt w:val="decimal"/>
      <w:isLgl/>
      <w:lvlText w:val="%1.%2.%3.%4.%5.%6.%7.%8.%9."/>
      <w:lvlJc w:val="left"/>
      <w:pPr>
        <w:ind w:left="2160" w:hanging="1800"/>
      </w:pPr>
      <w:rPr>
        <w:rFonts w:cs="Arial Unicode MS" w:hint="default"/>
      </w:rPr>
    </w:lvl>
  </w:abstractNum>
  <w:num w:numId="1" w16cid:durableId="1505976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804"/>
    <w:rsid w:val="002471AC"/>
    <w:rsid w:val="007F0276"/>
    <w:rsid w:val="00954621"/>
    <w:rsid w:val="00994E9E"/>
    <w:rsid w:val="00A47C67"/>
    <w:rsid w:val="00CA3804"/>
    <w:rsid w:val="00CF2DEE"/>
    <w:rsid w:val="00E140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52803"/>
  <w15:chartTrackingRefBased/>
  <w15:docId w15:val="{43C14CF1-F3AC-4D7C-AEE2-9614F1357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804"/>
    <w:pPr>
      <w:widowControl w:val="0"/>
      <w:suppressAutoHyphens/>
      <w:overflowPunct w:val="0"/>
      <w:adjustRightInd w:val="0"/>
      <w:spacing w:after="0" w:line="240" w:lineRule="auto"/>
    </w:pPr>
    <w:rPr>
      <w:rFonts w:ascii="Times New Roman" w:eastAsia="Times New Roman" w:hAnsi="Times New Roman" w:cs="Times New Roman"/>
      <w:kern w:val="28"/>
      <w:lang w:val="lt-LT" w:eastAsia="lt-LT"/>
      <w14:ligatures w14:val="none"/>
    </w:rPr>
  </w:style>
  <w:style w:type="paragraph" w:styleId="Heading1">
    <w:name w:val="heading 1"/>
    <w:basedOn w:val="Normal"/>
    <w:next w:val="Normal"/>
    <w:link w:val="Heading1Char"/>
    <w:uiPriority w:val="9"/>
    <w:qFormat/>
    <w:rsid w:val="00CA38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38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38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38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38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38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38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38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38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8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38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38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38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38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38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38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38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3804"/>
    <w:rPr>
      <w:rFonts w:eastAsiaTheme="majorEastAsia" w:cstheme="majorBidi"/>
      <w:color w:val="272727" w:themeColor="text1" w:themeTint="D8"/>
    </w:rPr>
  </w:style>
  <w:style w:type="paragraph" w:styleId="Title">
    <w:name w:val="Title"/>
    <w:basedOn w:val="Normal"/>
    <w:next w:val="Normal"/>
    <w:link w:val="TitleChar"/>
    <w:uiPriority w:val="10"/>
    <w:qFormat/>
    <w:rsid w:val="00CA3804"/>
    <w:pPr>
      <w:spacing w:after="8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CA38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38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38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3804"/>
    <w:pPr>
      <w:spacing w:before="160"/>
      <w:jc w:val="center"/>
    </w:pPr>
    <w:rPr>
      <w:i/>
      <w:iCs/>
      <w:color w:val="404040" w:themeColor="text1" w:themeTint="BF"/>
    </w:rPr>
  </w:style>
  <w:style w:type="character" w:customStyle="1" w:styleId="QuoteChar">
    <w:name w:val="Quote Char"/>
    <w:basedOn w:val="DefaultParagraphFont"/>
    <w:link w:val="Quote"/>
    <w:uiPriority w:val="29"/>
    <w:rsid w:val="00CA3804"/>
    <w:rPr>
      <w:i/>
      <w:iCs/>
      <w:color w:val="404040" w:themeColor="text1" w:themeTint="BF"/>
    </w:rPr>
  </w:style>
  <w:style w:type="paragraph" w:styleId="ListParagraph">
    <w:name w:val="List Paragraph"/>
    <w:basedOn w:val="Normal"/>
    <w:uiPriority w:val="34"/>
    <w:qFormat/>
    <w:rsid w:val="00CA3804"/>
    <w:pPr>
      <w:ind w:left="720"/>
      <w:contextualSpacing/>
    </w:pPr>
  </w:style>
  <w:style w:type="character" w:styleId="IntenseEmphasis">
    <w:name w:val="Intense Emphasis"/>
    <w:basedOn w:val="DefaultParagraphFont"/>
    <w:uiPriority w:val="21"/>
    <w:qFormat/>
    <w:rsid w:val="00CA3804"/>
    <w:rPr>
      <w:i/>
      <w:iCs/>
      <w:color w:val="0F4761" w:themeColor="accent1" w:themeShade="BF"/>
    </w:rPr>
  </w:style>
  <w:style w:type="paragraph" w:styleId="IntenseQuote">
    <w:name w:val="Intense Quote"/>
    <w:basedOn w:val="Normal"/>
    <w:next w:val="Normal"/>
    <w:link w:val="IntenseQuoteChar"/>
    <w:uiPriority w:val="30"/>
    <w:qFormat/>
    <w:rsid w:val="00CA38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3804"/>
    <w:rPr>
      <w:i/>
      <w:iCs/>
      <w:color w:val="0F4761" w:themeColor="accent1" w:themeShade="BF"/>
    </w:rPr>
  </w:style>
  <w:style w:type="character" w:styleId="IntenseReference">
    <w:name w:val="Intense Reference"/>
    <w:basedOn w:val="DefaultParagraphFont"/>
    <w:uiPriority w:val="32"/>
    <w:qFormat/>
    <w:rsid w:val="00CA3804"/>
    <w:rPr>
      <w:b/>
      <w:bCs/>
      <w:smallCaps/>
      <w:color w:val="0F4761" w:themeColor="accent1" w:themeShade="BF"/>
      <w:spacing w:val="5"/>
    </w:rPr>
  </w:style>
  <w:style w:type="paragraph" w:customStyle="1" w:styleId="Body2">
    <w:name w:val="Body 2"/>
    <w:rsid w:val="00CA380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Kačinskas</dc:creator>
  <cp:keywords/>
  <dc:description/>
  <cp:lastModifiedBy>Viktorija Balčiūnienė</cp:lastModifiedBy>
  <cp:revision>3</cp:revision>
  <dcterms:created xsi:type="dcterms:W3CDTF">2024-10-11T06:34:00Z</dcterms:created>
  <dcterms:modified xsi:type="dcterms:W3CDTF">2024-12-03T13:50:00Z</dcterms:modified>
</cp:coreProperties>
</file>